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FB6F" w14:textId="77777777" w:rsidR="0022007D" w:rsidRDefault="0022007D">
      <w:pPr>
        <w:spacing w:before="100"/>
        <w:ind w:left="120"/>
        <w:rPr>
          <w:b/>
          <w:sz w:val="36"/>
          <w:u w:val="single"/>
        </w:rPr>
      </w:pPr>
      <w:bookmarkStart w:id="0" w:name="_GoBack"/>
      <w:bookmarkEnd w:id="0"/>
    </w:p>
    <w:p w14:paraId="7494AE88" w14:textId="77777777" w:rsidR="00085522" w:rsidRPr="00FF1F78" w:rsidRDefault="0022007D">
      <w:pPr>
        <w:spacing w:before="100"/>
        <w:ind w:left="120"/>
        <w:rPr>
          <w:b/>
          <w:sz w:val="36"/>
          <w:u w:val="single"/>
        </w:rPr>
      </w:pPr>
      <w:r w:rsidRPr="00FF1F78">
        <w:rPr>
          <w:b/>
          <w:sz w:val="36"/>
          <w:u w:val="single"/>
        </w:rPr>
        <w:t>WHISTLEBLOWER POLICY</w:t>
      </w:r>
    </w:p>
    <w:p w14:paraId="06F8961D" w14:textId="77777777" w:rsidR="00085522" w:rsidRPr="0022007D" w:rsidRDefault="00085522">
      <w:pPr>
        <w:pStyle w:val="BodyText"/>
        <w:spacing w:before="4"/>
        <w:rPr>
          <w:b/>
          <w:sz w:val="24"/>
          <w:szCs w:val="24"/>
        </w:rPr>
      </w:pPr>
    </w:p>
    <w:p w14:paraId="09A39002" w14:textId="77777777" w:rsidR="00085522" w:rsidRDefault="00FF1F78">
      <w:pPr>
        <w:pStyle w:val="Heading1"/>
        <w:ind w:left="120"/>
        <w:rPr>
          <w:u w:val="none"/>
        </w:rPr>
      </w:pPr>
      <w:r>
        <w:rPr>
          <w:u w:color="7F7F7F"/>
        </w:rPr>
        <w:t>Policy</w:t>
      </w:r>
    </w:p>
    <w:p w14:paraId="62D85C6A" w14:textId="77777777" w:rsidR="00085522" w:rsidRDefault="00FF1F78">
      <w:pPr>
        <w:pStyle w:val="BodyText"/>
        <w:spacing w:before="120"/>
        <w:ind w:left="119" w:right="116"/>
        <w:jc w:val="both"/>
      </w:pPr>
      <w:r>
        <w:t>Laborde Marine Management, LLC</w:t>
      </w:r>
      <w:r w:rsidR="0022007D">
        <w:t xml:space="preserve"> </w:t>
      </w:r>
      <w:r w:rsidR="00B93854">
        <w:t xml:space="preserve">(Laborde) </w:t>
      </w:r>
      <w:r w:rsidR="0022007D">
        <w:t>is committed to high standards of ethical, moral and legal business conduct. In li</w:t>
      </w:r>
      <w:r w:rsidR="00B93854">
        <w:t>ne with this commitment, and Laborde</w:t>
      </w:r>
      <w:r w:rsidR="0022007D">
        <w:t>’s commitment to open communication, this policy aims to provide an avenue for employees to raise concerns and reassurance that they will be protected from reprisals or victimization for whistleblowing.</w:t>
      </w:r>
    </w:p>
    <w:p w14:paraId="215E377C" w14:textId="77777777" w:rsidR="00085522" w:rsidRDefault="00085522">
      <w:pPr>
        <w:pStyle w:val="BodyText"/>
      </w:pPr>
    </w:p>
    <w:p w14:paraId="368355E2" w14:textId="77777777" w:rsidR="00085522" w:rsidRDefault="0022007D" w:rsidP="00FF1F78">
      <w:pPr>
        <w:pStyle w:val="BodyText"/>
        <w:spacing w:before="1"/>
        <w:ind w:left="119" w:right="116"/>
        <w:jc w:val="both"/>
      </w:pPr>
      <w:r>
        <w:t xml:space="preserve">This whistleblowing policy is intended to cover protections for you if </w:t>
      </w:r>
      <w:r w:rsidR="00FF1F78">
        <w:t>you raise concerns reg</w:t>
      </w:r>
      <w:r w:rsidR="00B93854">
        <w:t>arding Laborde</w:t>
      </w:r>
      <w:r>
        <w:t>, such as concerns regarding:</w:t>
      </w:r>
    </w:p>
    <w:p w14:paraId="67827DAA" w14:textId="77777777" w:rsidR="00085522" w:rsidRDefault="0022007D">
      <w:pPr>
        <w:pStyle w:val="ListParagraph"/>
        <w:numPr>
          <w:ilvl w:val="0"/>
          <w:numId w:val="1"/>
        </w:numPr>
        <w:tabs>
          <w:tab w:val="left" w:pos="1559"/>
          <w:tab w:val="left" w:pos="1560"/>
        </w:tabs>
        <w:ind w:hanging="359"/>
        <w:rPr>
          <w:sz w:val="20"/>
        </w:rPr>
      </w:pPr>
      <w:r>
        <w:rPr>
          <w:sz w:val="20"/>
        </w:rPr>
        <w:t>unlawful</w:t>
      </w:r>
      <w:r>
        <w:rPr>
          <w:spacing w:val="-1"/>
          <w:sz w:val="20"/>
        </w:rPr>
        <w:t xml:space="preserve"> </w:t>
      </w:r>
      <w:r>
        <w:rPr>
          <w:sz w:val="20"/>
        </w:rPr>
        <w:t>a</w:t>
      </w:r>
      <w:r w:rsidR="00FF1F78">
        <w:rPr>
          <w:sz w:val="20"/>
        </w:rPr>
        <w:t>ctivity</w:t>
      </w:r>
      <w:r w:rsidR="00B93854">
        <w:rPr>
          <w:sz w:val="20"/>
        </w:rPr>
        <w:t>;</w:t>
      </w:r>
    </w:p>
    <w:p w14:paraId="141BD64D" w14:textId="77777777" w:rsidR="00085522" w:rsidRDefault="0022007D">
      <w:pPr>
        <w:pStyle w:val="ListParagraph"/>
        <w:numPr>
          <w:ilvl w:val="0"/>
          <w:numId w:val="1"/>
        </w:numPr>
        <w:tabs>
          <w:tab w:val="left" w:pos="1559"/>
          <w:tab w:val="left" w:pos="1560"/>
        </w:tabs>
        <w:ind w:hanging="359"/>
        <w:rPr>
          <w:sz w:val="20"/>
        </w:rPr>
      </w:pPr>
      <w:r>
        <w:rPr>
          <w:sz w:val="20"/>
        </w:rPr>
        <w:t xml:space="preserve">activities that are not in line with </w:t>
      </w:r>
      <w:r w:rsidR="00FF1F78">
        <w:rPr>
          <w:sz w:val="20"/>
        </w:rPr>
        <w:t>company policies</w:t>
      </w:r>
      <w:r w:rsidR="00B93854">
        <w:rPr>
          <w:sz w:val="20"/>
        </w:rPr>
        <w:t>, including safety policies;</w:t>
      </w:r>
    </w:p>
    <w:p w14:paraId="0AF8FEE6" w14:textId="77777777" w:rsidR="00085522" w:rsidRDefault="00B93854">
      <w:pPr>
        <w:pStyle w:val="ListParagraph"/>
        <w:numPr>
          <w:ilvl w:val="0"/>
          <w:numId w:val="1"/>
        </w:numPr>
        <w:tabs>
          <w:tab w:val="left" w:pos="1559"/>
          <w:tab w:val="left" w:pos="1560"/>
        </w:tabs>
        <w:ind w:hanging="359"/>
        <w:rPr>
          <w:sz w:val="20"/>
        </w:rPr>
      </w:pPr>
      <w:r>
        <w:rPr>
          <w:sz w:val="20"/>
        </w:rPr>
        <w:t>activities</w:t>
      </w:r>
      <w:r w:rsidR="0022007D">
        <w:rPr>
          <w:sz w:val="20"/>
        </w:rPr>
        <w:t xml:space="preserve"> which otherwise amount to serious improper</w:t>
      </w:r>
      <w:r w:rsidR="0022007D">
        <w:rPr>
          <w:spacing w:val="-9"/>
          <w:sz w:val="20"/>
        </w:rPr>
        <w:t xml:space="preserve"> </w:t>
      </w:r>
      <w:r w:rsidR="00FF1F78">
        <w:rPr>
          <w:sz w:val="20"/>
        </w:rPr>
        <w:t>conduct</w:t>
      </w:r>
      <w:r>
        <w:rPr>
          <w:sz w:val="20"/>
        </w:rPr>
        <w:t>.</w:t>
      </w:r>
    </w:p>
    <w:p w14:paraId="0D577681" w14:textId="77777777" w:rsidR="00085522" w:rsidRDefault="00085522">
      <w:pPr>
        <w:pStyle w:val="BodyText"/>
        <w:spacing w:before="4"/>
      </w:pPr>
    </w:p>
    <w:p w14:paraId="6F69E822" w14:textId="77777777" w:rsidR="00085522" w:rsidRDefault="0022007D">
      <w:pPr>
        <w:pStyle w:val="Heading1"/>
        <w:jc w:val="both"/>
        <w:rPr>
          <w:u w:val="none"/>
        </w:rPr>
      </w:pPr>
      <w:r>
        <w:rPr>
          <w:u w:color="7F7F7F"/>
        </w:rPr>
        <w:t>Safeguards</w:t>
      </w:r>
    </w:p>
    <w:p w14:paraId="4CFB662C" w14:textId="77777777" w:rsidR="00085522" w:rsidRDefault="0022007D">
      <w:pPr>
        <w:spacing w:before="122" w:line="242" w:lineRule="auto"/>
        <w:ind w:left="120" w:right="118"/>
        <w:jc w:val="both"/>
        <w:rPr>
          <w:sz w:val="20"/>
        </w:rPr>
      </w:pPr>
      <w:r>
        <w:rPr>
          <w:i/>
          <w:sz w:val="20"/>
        </w:rPr>
        <w:t xml:space="preserve">Harassment or Victimization - </w:t>
      </w:r>
      <w:r>
        <w:rPr>
          <w:sz w:val="20"/>
        </w:rPr>
        <w:t>Harassment</w:t>
      </w:r>
      <w:r w:rsidR="00B93854">
        <w:rPr>
          <w:sz w:val="20"/>
        </w:rPr>
        <w:t>, reprisals,</w:t>
      </w:r>
      <w:r>
        <w:rPr>
          <w:sz w:val="20"/>
        </w:rPr>
        <w:t xml:space="preserve"> or victimization for reporting concerns under this policy will not be tolerated.</w:t>
      </w:r>
    </w:p>
    <w:p w14:paraId="638B8FB5" w14:textId="77777777" w:rsidR="00085522" w:rsidRDefault="00085522">
      <w:pPr>
        <w:pStyle w:val="BodyText"/>
      </w:pPr>
    </w:p>
    <w:p w14:paraId="7C14F7E7" w14:textId="77777777" w:rsidR="00085522" w:rsidRDefault="0022007D">
      <w:pPr>
        <w:pStyle w:val="BodyText"/>
        <w:spacing w:line="242" w:lineRule="auto"/>
        <w:ind w:left="120" w:right="116" w:hanging="1"/>
        <w:jc w:val="both"/>
      </w:pPr>
      <w:r>
        <w:rPr>
          <w:i/>
        </w:rPr>
        <w:t xml:space="preserve">Confidentiality </w:t>
      </w:r>
      <w:r>
        <w:rPr>
          <w:i/>
          <w:color w:val="33339A"/>
        </w:rPr>
        <w:t xml:space="preserve">- </w:t>
      </w:r>
      <w:r>
        <w:t>Every effort will be made to treat the complainant’s identity with appropriate regard for confidentiality.</w:t>
      </w:r>
    </w:p>
    <w:p w14:paraId="4B77615D" w14:textId="77777777" w:rsidR="00085522" w:rsidRDefault="00085522">
      <w:pPr>
        <w:pStyle w:val="BodyText"/>
        <w:spacing w:before="10"/>
        <w:rPr>
          <w:sz w:val="19"/>
        </w:rPr>
      </w:pPr>
    </w:p>
    <w:p w14:paraId="3DDEFDC8" w14:textId="77777777" w:rsidR="00085522" w:rsidRDefault="0022007D">
      <w:pPr>
        <w:pStyle w:val="BodyText"/>
        <w:spacing w:before="1" w:line="242" w:lineRule="auto"/>
        <w:ind w:left="120" w:right="114"/>
        <w:jc w:val="both"/>
      </w:pPr>
      <w:r>
        <w:rPr>
          <w:i/>
        </w:rPr>
        <w:t xml:space="preserve">Anonymous Allegations </w:t>
      </w:r>
      <w:r>
        <w:t>- This policy encourages employees to put their names to allegations because appropriate follow-up questions and investigation may not be possible unless the source of the information is identified. Concerns expressed anonymously will be explored appropriately, but consideration will be given to:</w:t>
      </w:r>
    </w:p>
    <w:p w14:paraId="2EBAC90F" w14:textId="77777777" w:rsidR="00085522" w:rsidRDefault="0022007D">
      <w:pPr>
        <w:pStyle w:val="ListParagraph"/>
        <w:numPr>
          <w:ilvl w:val="0"/>
          <w:numId w:val="1"/>
        </w:numPr>
        <w:tabs>
          <w:tab w:val="left" w:pos="1559"/>
          <w:tab w:val="left" w:pos="1561"/>
        </w:tabs>
        <w:spacing w:line="228" w:lineRule="exact"/>
        <w:ind w:left="1560"/>
        <w:rPr>
          <w:sz w:val="20"/>
        </w:rPr>
      </w:pPr>
      <w:r>
        <w:rPr>
          <w:sz w:val="20"/>
        </w:rPr>
        <w:t>The seriousness of the issue</w:t>
      </w:r>
      <w:r>
        <w:rPr>
          <w:spacing w:val="-24"/>
          <w:sz w:val="20"/>
        </w:rPr>
        <w:t xml:space="preserve"> </w:t>
      </w:r>
      <w:r>
        <w:rPr>
          <w:sz w:val="20"/>
        </w:rPr>
        <w:t>raised;</w:t>
      </w:r>
    </w:p>
    <w:p w14:paraId="4EC01166" w14:textId="77777777" w:rsidR="00085522" w:rsidRDefault="0022007D">
      <w:pPr>
        <w:pStyle w:val="ListParagraph"/>
        <w:numPr>
          <w:ilvl w:val="0"/>
          <w:numId w:val="1"/>
        </w:numPr>
        <w:tabs>
          <w:tab w:val="left" w:pos="1559"/>
          <w:tab w:val="left" w:pos="1561"/>
        </w:tabs>
        <w:ind w:left="1560"/>
        <w:rPr>
          <w:sz w:val="20"/>
        </w:rPr>
      </w:pPr>
      <w:r>
        <w:rPr>
          <w:sz w:val="20"/>
        </w:rPr>
        <w:t>The credibility of the concern;</w:t>
      </w:r>
      <w:r>
        <w:rPr>
          <w:spacing w:val="-13"/>
          <w:sz w:val="20"/>
        </w:rPr>
        <w:t xml:space="preserve"> </w:t>
      </w:r>
      <w:r>
        <w:rPr>
          <w:sz w:val="20"/>
        </w:rPr>
        <w:t>and</w:t>
      </w:r>
    </w:p>
    <w:p w14:paraId="396864CD" w14:textId="77777777" w:rsidR="00085522" w:rsidRDefault="0022007D">
      <w:pPr>
        <w:pStyle w:val="ListParagraph"/>
        <w:numPr>
          <w:ilvl w:val="0"/>
          <w:numId w:val="1"/>
        </w:numPr>
        <w:tabs>
          <w:tab w:val="left" w:pos="1559"/>
          <w:tab w:val="left" w:pos="1561"/>
        </w:tabs>
        <w:ind w:left="1560"/>
        <w:rPr>
          <w:sz w:val="20"/>
        </w:rPr>
      </w:pPr>
      <w:r>
        <w:rPr>
          <w:sz w:val="20"/>
        </w:rPr>
        <w:t>The likelihood of confirming the allegation from attributable</w:t>
      </w:r>
      <w:r>
        <w:rPr>
          <w:spacing w:val="-8"/>
          <w:sz w:val="20"/>
        </w:rPr>
        <w:t xml:space="preserve"> </w:t>
      </w:r>
      <w:r>
        <w:rPr>
          <w:sz w:val="20"/>
        </w:rPr>
        <w:t>sources.</w:t>
      </w:r>
    </w:p>
    <w:p w14:paraId="74EFD1C7" w14:textId="77777777" w:rsidR="00085522" w:rsidRDefault="00085522">
      <w:pPr>
        <w:pStyle w:val="BodyText"/>
        <w:spacing w:before="2"/>
      </w:pPr>
    </w:p>
    <w:p w14:paraId="2F4FC02C" w14:textId="77777777" w:rsidR="00085522" w:rsidRDefault="0022007D">
      <w:pPr>
        <w:spacing w:before="1"/>
        <w:ind w:left="120"/>
        <w:jc w:val="both"/>
        <w:rPr>
          <w:sz w:val="20"/>
        </w:rPr>
      </w:pPr>
      <w:r>
        <w:rPr>
          <w:i/>
          <w:sz w:val="20"/>
        </w:rPr>
        <w:t xml:space="preserve">Bad Faith Allegations - </w:t>
      </w:r>
      <w:r>
        <w:rPr>
          <w:sz w:val="20"/>
        </w:rPr>
        <w:t>Allegations in bad faith ma</w:t>
      </w:r>
      <w:r w:rsidR="00FF1F78">
        <w:rPr>
          <w:sz w:val="20"/>
        </w:rPr>
        <w:t>y result in disciplinary action, including possible termination of employment.</w:t>
      </w:r>
    </w:p>
    <w:p w14:paraId="218C1BA6" w14:textId="77777777" w:rsidR="00085522" w:rsidRDefault="00085522">
      <w:pPr>
        <w:pStyle w:val="BodyText"/>
        <w:spacing w:before="5"/>
      </w:pPr>
    </w:p>
    <w:p w14:paraId="170D639C" w14:textId="77777777" w:rsidR="00085522" w:rsidRDefault="0022007D">
      <w:pPr>
        <w:pStyle w:val="Heading1"/>
        <w:ind w:left="120"/>
        <w:jc w:val="both"/>
        <w:rPr>
          <w:u w:val="none"/>
        </w:rPr>
      </w:pPr>
      <w:r>
        <w:rPr>
          <w:u w:color="7F7F7F"/>
        </w:rPr>
        <w:t>Procedure:           1. Process for Raising a Concern</w:t>
      </w:r>
    </w:p>
    <w:p w14:paraId="77B302E7" w14:textId="77777777" w:rsidR="00085522" w:rsidRPr="00442E85" w:rsidRDefault="0022007D">
      <w:pPr>
        <w:spacing w:before="123" w:line="244" w:lineRule="auto"/>
        <w:ind w:left="119" w:right="117"/>
        <w:jc w:val="both"/>
        <w:rPr>
          <w:b/>
          <w:sz w:val="20"/>
        </w:rPr>
      </w:pPr>
      <w:r>
        <w:rPr>
          <w:i/>
          <w:sz w:val="20"/>
        </w:rPr>
        <w:t xml:space="preserve">Reporting - </w:t>
      </w:r>
      <w:r>
        <w:rPr>
          <w:sz w:val="20"/>
        </w:rPr>
        <w:t>The whistleblowing procedure is intended to be used for serious and sensitive issues. Such concerns, including those r</w:t>
      </w:r>
      <w:r w:rsidR="00EF6B90">
        <w:rPr>
          <w:sz w:val="20"/>
        </w:rPr>
        <w:t xml:space="preserve">elating to </w:t>
      </w:r>
      <w:r w:rsidR="00B93854">
        <w:rPr>
          <w:sz w:val="20"/>
        </w:rPr>
        <w:t xml:space="preserve">financial reporting, </w:t>
      </w:r>
      <w:r>
        <w:rPr>
          <w:sz w:val="20"/>
        </w:rPr>
        <w:t xml:space="preserve">unethical or illegal </w:t>
      </w:r>
      <w:r w:rsidR="00B93854">
        <w:rPr>
          <w:sz w:val="20"/>
        </w:rPr>
        <w:t>conduct</w:t>
      </w:r>
      <w:r>
        <w:rPr>
          <w:sz w:val="20"/>
        </w:rPr>
        <w:t xml:space="preserve"> may be reported directly to: </w:t>
      </w:r>
      <w:r w:rsidR="00FF1F78">
        <w:rPr>
          <w:b/>
          <w:sz w:val="20"/>
        </w:rPr>
        <w:t xml:space="preserve">  </w:t>
      </w:r>
      <w:r w:rsidR="00442E85" w:rsidRPr="00442E85">
        <w:rPr>
          <w:sz w:val="20"/>
        </w:rPr>
        <w:t>Peter Laborde</w:t>
      </w:r>
      <w:r w:rsidR="00442E85" w:rsidRPr="00442E85">
        <w:rPr>
          <w:sz w:val="20"/>
          <w:u w:val="single"/>
        </w:rPr>
        <w:t>, plaboarde@labm</w:t>
      </w:r>
      <w:r w:rsidR="00442E85">
        <w:rPr>
          <w:sz w:val="20"/>
          <w:u w:val="single"/>
        </w:rPr>
        <w:t>a</w:t>
      </w:r>
      <w:r w:rsidR="00442E85" w:rsidRPr="00442E85">
        <w:rPr>
          <w:sz w:val="20"/>
          <w:u w:val="single"/>
        </w:rPr>
        <w:t>rine.com</w:t>
      </w:r>
      <w:r w:rsidR="00442E85" w:rsidRPr="00442E85">
        <w:rPr>
          <w:sz w:val="20"/>
        </w:rPr>
        <w:t xml:space="preserve">, </w:t>
      </w:r>
      <w:r w:rsidR="00B93854" w:rsidRPr="00442E85">
        <w:rPr>
          <w:sz w:val="20"/>
        </w:rPr>
        <w:t>or Cliffe Laborde</w:t>
      </w:r>
      <w:r w:rsidR="00442E85" w:rsidRPr="00442E85">
        <w:rPr>
          <w:sz w:val="20"/>
        </w:rPr>
        <w:t xml:space="preserve">, </w:t>
      </w:r>
      <w:r w:rsidR="00442E85" w:rsidRPr="00442E85">
        <w:rPr>
          <w:sz w:val="20"/>
          <w:u w:val="single"/>
        </w:rPr>
        <w:t>claborde@labmarine.com</w:t>
      </w:r>
      <w:r w:rsidR="00442E85" w:rsidRPr="00442E85">
        <w:rPr>
          <w:sz w:val="20"/>
        </w:rPr>
        <w:t xml:space="preserve"> or</w:t>
      </w:r>
      <w:r w:rsidR="00442E85">
        <w:rPr>
          <w:sz w:val="20"/>
        </w:rPr>
        <w:t xml:space="preserve"> by calling</w:t>
      </w:r>
      <w:r w:rsidR="00B93854" w:rsidRPr="00442E85">
        <w:rPr>
          <w:sz w:val="20"/>
        </w:rPr>
        <w:t xml:space="preserve"> (504)582-2185.</w:t>
      </w:r>
      <w:r w:rsidR="00FF1F78" w:rsidRPr="00442E85">
        <w:rPr>
          <w:sz w:val="20"/>
        </w:rPr>
        <w:t xml:space="preserve">    </w:t>
      </w:r>
      <w:r w:rsidR="00FF1F78" w:rsidRPr="00442E85">
        <w:rPr>
          <w:color w:val="FFFF00"/>
          <w:sz w:val="20"/>
        </w:rPr>
        <w:t xml:space="preserve">    </w:t>
      </w:r>
    </w:p>
    <w:p w14:paraId="298350B4" w14:textId="77777777" w:rsidR="00085522" w:rsidRDefault="00085522">
      <w:pPr>
        <w:pStyle w:val="BodyText"/>
        <w:spacing w:before="1"/>
        <w:rPr>
          <w:b/>
        </w:rPr>
      </w:pPr>
    </w:p>
    <w:p w14:paraId="2DBBDBBD" w14:textId="77777777" w:rsidR="00085522" w:rsidRDefault="0022007D">
      <w:pPr>
        <w:spacing w:line="242" w:lineRule="auto"/>
        <w:ind w:left="119" w:right="119"/>
        <w:jc w:val="both"/>
        <w:rPr>
          <w:sz w:val="20"/>
        </w:rPr>
      </w:pPr>
      <w:r>
        <w:rPr>
          <w:sz w:val="20"/>
        </w:rPr>
        <w:t xml:space="preserve">Employment-related concerns should continue to be reported through your normal channels such as </w:t>
      </w:r>
      <w:r w:rsidR="00442E85" w:rsidRPr="00442E85">
        <w:rPr>
          <w:sz w:val="20"/>
        </w:rPr>
        <w:t>your direct supervisor</w:t>
      </w:r>
      <w:r w:rsidRPr="00442E85">
        <w:rPr>
          <w:sz w:val="20"/>
        </w:rPr>
        <w:t>.</w:t>
      </w:r>
      <w:r w:rsidR="00B93854">
        <w:rPr>
          <w:sz w:val="20"/>
        </w:rPr>
        <w:t xml:space="preserve">  If the concern relates to one's supervisor, then the concern should be directed to the next most senior manager in the company in your division.</w:t>
      </w:r>
    </w:p>
    <w:p w14:paraId="1AE9AD0A" w14:textId="77777777" w:rsidR="00085522" w:rsidRDefault="00085522">
      <w:pPr>
        <w:spacing w:line="242" w:lineRule="auto"/>
        <w:jc w:val="both"/>
        <w:rPr>
          <w:sz w:val="20"/>
        </w:rPr>
      </w:pPr>
    </w:p>
    <w:p w14:paraId="11A02823" w14:textId="77777777" w:rsidR="00FF1F78" w:rsidRDefault="00FF1F78">
      <w:pPr>
        <w:spacing w:line="242" w:lineRule="auto"/>
        <w:jc w:val="both"/>
        <w:rPr>
          <w:sz w:val="20"/>
        </w:rPr>
      </w:pPr>
    </w:p>
    <w:p w14:paraId="48306F7A" w14:textId="77777777" w:rsidR="00FF1F78" w:rsidRDefault="00FF1F78" w:rsidP="00FF1F78">
      <w:pPr>
        <w:pStyle w:val="BodyText"/>
        <w:spacing w:before="82"/>
        <w:ind w:left="119"/>
      </w:pPr>
      <w:r>
        <w:rPr>
          <w:i/>
        </w:rPr>
        <w:t xml:space="preserve">Timing </w:t>
      </w:r>
      <w:r>
        <w:t>- The earlier a concern is expressed, the easier it is to take action.</w:t>
      </w:r>
    </w:p>
    <w:p w14:paraId="05316DF8" w14:textId="77777777" w:rsidR="00FF1F78" w:rsidRDefault="00FF1F78" w:rsidP="00FF1F78">
      <w:pPr>
        <w:pStyle w:val="BodyText"/>
        <w:spacing w:before="9"/>
      </w:pPr>
    </w:p>
    <w:p w14:paraId="545483FB" w14:textId="77777777" w:rsidR="00FF1F78" w:rsidRDefault="00FF1F78" w:rsidP="00FF1F78">
      <w:pPr>
        <w:pStyle w:val="BodyText"/>
        <w:spacing w:line="242" w:lineRule="auto"/>
        <w:ind w:left="119" w:right="113"/>
        <w:jc w:val="both"/>
      </w:pPr>
      <w:r>
        <w:rPr>
          <w:i/>
        </w:rPr>
        <w:t xml:space="preserve">Evidence - </w:t>
      </w:r>
      <w:r>
        <w:t>Although the employee is not expected to prove the truth of an allegation, the employee should be able to demonstrate to the person contacted that the report is being made in good faith.</w:t>
      </w:r>
    </w:p>
    <w:p w14:paraId="49581990" w14:textId="77777777" w:rsidR="00FF1F78" w:rsidRDefault="00FF1F78">
      <w:pPr>
        <w:spacing w:line="242" w:lineRule="auto"/>
        <w:jc w:val="both"/>
        <w:rPr>
          <w:sz w:val="20"/>
        </w:rPr>
      </w:pPr>
    </w:p>
    <w:p w14:paraId="53D979EF" w14:textId="77777777" w:rsidR="00FF1F78" w:rsidRDefault="00FF1F78">
      <w:pPr>
        <w:spacing w:line="242" w:lineRule="auto"/>
        <w:jc w:val="both"/>
        <w:rPr>
          <w:sz w:val="20"/>
        </w:rPr>
      </w:pPr>
    </w:p>
    <w:p w14:paraId="5927B0BF" w14:textId="77777777" w:rsidR="00FF1F78" w:rsidRDefault="00FF1F78" w:rsidP="00FF1F78">
      <w:pPr>
        <w:pStyle w:val="Heading1"/>
        <w:tabs>
          <w:tab w:val="left" w:pos="1559"/>
        </w:tabs>
        <w:rPr>
          <w:u w:val="none"/>
        </w:rPr>
      </w:pPr>
      <w:r>
        <w:rPr>
          <w:u w:color="7F7F7F"/>
        </w:rPr>
        <w:t>Procedure:</w:t>
      </w:r>
      <w:r>
        <w:rPr>
          <w:u w:color="7F7F7F"/>
        </w:rPr>
        <w:tab/>
        <w:t>2. How the Report of Concern Will be</w:t>
      </w:r>
      <w:r>
        <w:rPr>
          <w:spacing w:val="-9"/>
          <w:u w:color="7F7F7F"/>
        </w:rPr>
        <w:t xml:space="preserve"> </w:t>
      </w:r>
      <w:r>
        <w:rPr>
          <w:u w:color="7F7F7F"/>
        </w:rPr>
        <w:t>Handled</w:t>
      </w:r>
    </w:p>
    <w:p w14:paraId="62B470F1" w14:textId="77777777" w:rsidR="00FF1F78" w:rsidRDefault="00B93854" w:rsidP="00FF1F78">
      <w:pPr>
        <w:pStyle w:val="BodyText"/>
        <w:spacing w:before="120"/>
        <w:ind w:left="120" w:right="116"/>
        <w:jc w:val="both"/>
      </w:pPr>
      <w:r>
        <w:t>The action taken by Laborde</w:t>
      </w:r>
      <w:r w:rsidR="00FF1F78">
        <w:t xml:space="preserve"> in response to a report of concern under this policy will depend on the nature of the concern. The </w:t>
      </w:r>
      <w:r>
        <w:t xml:space="preserve">owners of Laborde </w:t>
      </w:r>
      <w:r w:rsidR="00FF1F78">
        <w:t>shall receive information on each report of concern and follow-up information on actions taken.</w:t>
      </w:r>
    </w:p>
    <w:p w14:paraId="3F5DBA6C" w14:textId="77777777" w:rsidR="00FF1F78" w:rsidRDefault="00FF1F78" w:rsidP="00FF1F78">
      <w:pPr>
        <w:pStyle w:val="BodyText"/>
        <w:spacing w:before="2"/>
      </w:pPr>
    </w:p>
    <w:p w14:paraId="09C59828" w14:textId="77777777" w:rsidR="00FF1F78" w:rsidRDefault="00FF1F78" w:rsidP="00FF1F78">
      <w:pPr>
        <w:pStyle w:val="BodyText"/>
        <w:spacing w:line="242" w:lineRule="auto"/>
        <w:ind w:left="120" w:right="116"/>
        <w:jc w:val="both"/>
      </w:pPr>
      <w:r>
        <w:rPr>
          <w:i/>
        </w:rPr>
        <w:t xml:space="preserve">Initial Inquiries - </w:t>
      </w:r>
      <w:r>
        <w:t>Initial inquiries will be made to determine whether an investigation is appropriate, and the form that it should take. Some concerns may be resolved without the need for investigation.</w:t>
      </w:r>
    </w:p>
    <w:p w14:paraId="7C6ADE9D" w14:textId="77777777" w:rsidR="00FF1F78" w:rsidRDefault="00FF1F78" w:rsidP="00FF1F78">
      <w:pPr>
        <w:pStyle w:val="BodyText"/>
      </w:pPr>
    </w:p>
    <w:p w14:paraId="2AEB340F" w14:textId="77777777" w:rsidR="00FF1F78" w:rsidRDefault="00FF1F78" w:rsidP="00FF1F78">
      <w:pPr>
        <w:pStyle w:val="BodyText"/>
        <w:spacing w:before="1"/>
        <w:ind w:left="119" w:right="117"/>
        <w:jc w:val="both"/>
      </w:pPr>
      <w:r>
        <w:rPr>
          <w:i/>
        </w:rPr>
        <w:t>Further Information -</w:t>
      </w:r>
      <w:r>
        <w:t>The amount of contact between the complainant and the person or persons investigating the concern will depend on the nature of the issue and the clarity of information provided. Further information may be sought from or provided to the person reporting the concern.</w:t>
      </w:r>
    </w:p>
    <w:p w14:paraId="1C38E337" w14:textId="77777777" w:rsidR="00FF1F78" w:rsidRDefault="00FF1F78" w:rsidP="00FF1F78">
      <w:pPr>
        <w:pStyle w:val="BodyText"/>
        <w:spacing w:before="1"/>
        <w:ind w:left="119" w:right="117"/>
        <w:jc w:val="both"/>
      </w:pPr>
    </w:p>
    <w:p w14:paraId="4D717E8F" w14:textId="77777777" w:rsidR="00085522" w:rsidRDefault="00085522">
      <w:pPr>
        <w:pStyle w:val="BodyText"/>
        <w:ind w:left="4611" w:right="4611"/>
        <w:jc w:val="center"/>
      </w:pPr>
    </w:p>
    <w:sectPr w:rsidR="00085522" w:rsidSect="00FF1F78">
      <w:pgSz w:w="12240" w:h="15840"/>
      <w:pgMar w:top="288" w:right="1325" w:bottom="27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33F1E"/>
    <w:multiLevelType w:val="hybridMultilevel"/>
    <w:tmpl w:val="3410BD98"/>
    <w:lvl w:ilvl="0" w:tplc="14CE6D9A">
      <w:numFmt w:val="bullet"/>
      <w:lvlText w:val=""/>
      <w:lvlJc w:val="left"/>
      <w:pPr>
        <w:ind w:left="1559" w:hanging="360"/>
      </w:pPr>
      <w:rPr>
        <w:rFonts w:ascii="Wingdings" w:eastAsia="Wingdings" w:hAnsi="Wingdings" w:cs="Wingdings" w:hint="default"/>
        <w:b/>
        <w:bCs/>
        <w:w w:val="100"/>
        <w:sz w:val="20"/>
        <w:szCs w:val="20"/>
      </w:rPr>
    </w:lvl>
    <w:lvl w:ilvl="1" w:tplc="39225384">
      <w:numFmt w:val="bullet"/>
      <w:lvlText w:val="•"/>
      <w:lvlJc w:val="left"/>
      <w:pPr>
        <w:ind w:left="2364" w:hanging="360"/>
      </w:pPr>
      <w:rPr>
        <w:rFonts w:hint="default"/>
      </w:rPr>
    </w:lvl>
    <w:lvl w:ilvl="2" w:tplc="63EA6A20">
      <w:numFmt w:val="bullet"/>
      <w:lvlText w:val="•"/>
      <w:lvlJc w:val="left"/>
      <w:pPr>
        <w:ind w:left="3168" w:hanging="360"/>
      </w:pPr>
      <w:rPr>
        <w:rFonts w:hint="default"/>
      </w:rPr>
    </w:lvl>
    <w:lvl w:ilvl="3" w:tplc="BE5C5E9A">
      <w:numFmt w:val="bullet"/>
      <w:lvlText w:val="•"/>
      <w:lvlJc w:val="left"/>
      <w:pPr>
        <w:ind w:left="3972" w:hanging="360"/>
      </w:pPr>
      <w:rPr>
        <w:rFonts w:hint="default"/>
      </w:rPr>
    </w:lvl>
    <w:lvl w:ilvl="4" w:tplc="D104303A">
      <w:numFmt w:val="bullet"/>
      <w:lvlText w:val="•"/>
      <w:lvlJc w:val="left"/>
      <w:pPr>
        <w:ind w:left="4776" w:hanging="360"/>
      </w:pPr>
      <w:rPr>
        <w:rFonts w:hint="default"/>
      </w:rPr>
    </w:lvl>
    <w:lvl w:ilvl="5" w:tplc="A092AA36">
      <w:numFmt w:val="bullet"/>
      <w:lvlText w:val="•"/>
      <w:lvlJc w:val="left"/>
      <w:pPr>
        <w:ind w:left="5580" w:hanging="360"/>
      </w:pPr>
      <w:rPr>
        <w:rFonts w:hint="default"/>
      </w:rPr>
    </w:lvl>
    <w:lvl w:ilvl="6" w:tplc="60227AB2">
      <w:numFmt w:val="bullet"/>
      <w:lvlText w:val="•"/>
      <w:lvlJc w:val="left"/>
      <w:pPr>
        <w:ind w:left="6384" w:hanging="360"/>
      </w:pPr>
      <w:rPr>
        <w:rFonts w:hint="default"/>
      </w:rPr>
    </w:lvl>
    <w:lvl w:ilvl="7" w:tplc="6C9CF89C">
      <w:numFmt w:val="bullet"/>
      <w:lvlText w:val="•"/>
      <w:lvlJc w:val="left"/>
      <w:pPr>
        <w:ind w:left="7188" w:hanging="360"/>
      </w:pPr>
      <w:rPr>
        <w:rFonts w:hint="default"/>
      </w:rPr>
    </w:lvl>
    <w:lvl w:ilvl="8" w:tplc="294CB730">
      <w:numFmt w:val="bullet"/>
      <w:lvlText w:val="•"/>
      <w:lvlJc w:val="left"/>
      <w:pPr>
        <w:ind w:left="79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22"/>
    <w:rsid w:val="00085522"/>
    <w:rsid w:val="0022007D"/>
    <w:rsid w:val="00442E85"/>
    <w:rsid w:val="005E62F9"/>
    <w:rsid w:val="00B93854"/>
    <w:rsid w:val="00EF6B90"/>
    <w:rsid w:val="00F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F77C"/>
  <w15:docId w15:val="{5A8EF690-0DC7-41FF-B6CF-3CB473D1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ell MT" w:eastAsia="Bell MT" w:hAnsi="Bell MT" w:cs="Bell MT"/>
    </w:rPr>
  </w:style>
  <w:style w:type="paragraph" w:styleId="Heading1">
    <w:name w:val="heading 1"/>
    <w:basedOn w:val="Normal"/>
    <w:uiPriority w:val="1"/>
    <w:qFormat/>
    <w:pPr>
      <w:ind w:left="119"/>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3" w:lineRule="exact"/>
      <w:ind w:left="155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Microsoft Word - DC1DOCS1-#309103-v1-Model_Association_Whistleblower_Policy_#1__ASAE_version_.DOC</vt:lpstr>
    </vt:vector>
  </TitlesOfParts>
  <Company>Microsoft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DC1DOCS1-#309103-v1-Model_Association_Whistleblower_Policy_#1__ASAE_version_.DOC</dc:title>
  <dc:creator>ckillam</dc:creator>
  <cp:lastModifiedBy>o365b-apps1</cp:lastModifiedBy>
  <cp:revision>2</cp:revision>
  <cp:lastPrinted>2019-06-28T22:04:00Z</cp:lastPrinted>
  <dcterms:created xsi:type="dcterms:W3CDTF">2019-07-01T19:08:00Z</dcterms:created>
  <dcterms:modified xsi:type="dcterms:W3CDTF">2019-07-01T19:08:00Z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2009-01-07T00:00:00Z</vt:filetime>
  </property>
  <property fmtid="{D5CDD505-2E9C-101B-9397-08002B2CF9AE}" pid="3" name="Creator">
    <vt:lpwstr>PScript5.dll Version 5.2.2</vt:lpwstr>
  </property>
  <property fmtid="{D5CDD505-2E9C-101B-9397-08002B2CF9AE}" pid="4" name="LastSaved">
    <vt:filetime>2019-06-14T00:00:00Z</vt:filetime>
  </property>
</Properties>
</file>